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A59B" w14:textId="71190981" w:rsidR="008F3140" w:rsidRDefault="00F576B4" w:rsidP="00674B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Policy Update: New </w:t>
      </w:r>
      <w:r w:rsidR="002757F0">
        <w:rPr>
          <w:rFonts w:ascii="Arial" w:hAnsi="Arial" w:cs="Arial"/>
          <w:b/>
          <w:bCs/>
        </w:rPr>
        <w:t xml:space="preserve">Medicare Policy on </w:t>
      </w:r>
      <w:r>
        <w:rPr>
          <w:rFonts w:ascii="Arial" w:hAnsi="Arial" w:cs="Arial"/>
          <w:b/>
          <w:bCs/>
          <w:i/>
          <w:iCs/>
        </w:rPr>
        <w:t>Split (or Shared) Billing for Evaluation &amp; Management Services</w:t>
      </w:r>
      <w:r>
        <w:rPr>
          <w:rFonts w:ascii="Arial" w:hAnsi="Arial" w:cs="Arial"/>
          <w:b/>
          <w:bCs/>
        </w:rPr>
        <w:t xml:space="preserve"> </w:t>
      </w:r>
    </w:p>
    <w:p w14:paraId="1864AA02" w14:textId="6A0690B7" w:rsidR="00F576B4" w:rsidRDefault="00F576B4" w:rsidP="00674BFC">
      <w:pPr>
        <w:rPr>
          <w:rFonts w:ascii="Arial" w:hAnsi="Arial" w:cs="Arial"/>
          <w:b/>
          <w:bCs/>
        </w:rPr>
      </w:pPr>
    </w:p>
    <w:p w14:paraId="3BD90CDE" w14:textId="63A64F40" w:rsidR="0068625F" w:rsidRDefault="0068625F" w:rsidP="00674BF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Updated: </w:t>
      </w:r>
      <w:r w:rsidR="00DC0EC1">
        <w:rPr>
          <w:rFonts w:ascii="Calibri" w:hAnsi="Calibri" w:cs="Calibri"/>
          <w:b/>
          <w:bCs/>
          <w:sz w:val="22"/>
          <w:szCs w:val="22"/>
        </w:rPr>
        <w:t>July 27, 2023</w:t>
      </w:r>
    </w:p>
    <w:p w14:paraId="46437B11" w14:textId="77777777" w:rsidR="0068625F" w:rsidRDefault="0068625F" w:rsidP="00674BFC">
      <w:pPr>
        <w:rPr>
          <w:rFonts w:ascii="Calibri" w:hAnsi="Calibri" w:cs="Calibri"/>
          <w:b/>
          <w:bCs/>
          <w:sz w:val="22"/>
          <w:szCs w:val="22"/>
        </w:rPr>
      </w:pPr>
    </w:p>
    <w:p w14:paraId="3FA0F3F5" w14:textId="77777777" w:rsidR="00F74CBF" w:rsidRDefault="00F576B4" w:rsidP="00674BF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Background: </w:t>
      </w:r>
    </w:p>
    <w:p w14:paraId="0D1240F7" w14:textId="3023FEA2" w:rsidR="00E01199" w:rsidRDefault="00657977" w:rsidP="00934B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</w:t>
      </w:r>
      <w:r w:rsidR="00F4175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2021, the Centers for Medicare and Medicaid Services (CMS) </w:t>
      </w:r>
      <w:r w:rsidR="0020284B">
        <w:rPr>
          <w:rFonts w:ascii="Calibri" w:hAnsi="Calibri" w:cs="Calibri"/>
          <w:sz w:val="22"/>
          <w:szCs w:val="22"/>
        </w:rPr>
        <w:t>created</w:t>
      </w:r>
      <w:r>
        <w:rPr>
          <w:rFonts w:ascii="Calibri" w:hAnsi="Calibri" w:cs="Calibri"/>
          <w:sz w:val="22"/>
          <w:szCs w:val="22"/>
        </w:rPr>
        <w:t xml:space="preserve"> a new</w:t>
      </w:r>
      <w:r w:rsidR="002757F0">
        <w:rPr>
          <w:rFonts w:ascii="Calibri" w:hAnsi="Calibri" w:cs="Calibri"/>
          <w:sz w:val="22"/>
          <w:szCs w:val="22"/>
        </w:rPr>
        <w:t xml:space="preserve"> time-based</w:t>
      </w:r>
      <w:r>
        <w:rPr>
          <w:rFonts w:ascii="Calibri" w:hAnsi="Calibri" w:cs="Calibri"/>
          <w:sz w:val="22"/>
          <w:szCs w:val="22"/>
        </w:rPr>
        <w:t xml:space="preserve"> policy </w:t>
      </w:r>
      <w:r w:rsidR="0082403F">
        <w:rPr>
          <w:rFonts w:ascii="Calibri" w:hAnsi="Calibri" w:cs="Calibri"/>
          <w:sz w:val="22"/>
          <w:szCs w:val="22"/>
        </w:rPr>
        <w:t xml:space="preserve">for </w:t>
      </w:r>
      <w:r w:rsidR="0082403F">
        <w:rPr>
          <w:rFonts w:ascii="Calibri" w:hAnsi="Calibri" w:cs="Calibri"/>
          <w:i/>
          <w:iCs/>
          <w:sz w:val="22"/>
          <w:szCs w:val="22"/>
        </w:rPr>
        <w:t>split (or shared) billing</w:t>
      </w:r>
      <w:r w:rsidR="0082403F">
        <w:t xml:space="preserve"> </w:t>
      </w:r>
      <w:r w:rsidR="0082403F">
        <w:rPr>
          <w:rFonts w:ascii="Calibri" w:hAnsi="Calibri" w:cs="Calibri"/>
          <w:sz w:val="22"/>
          <w:szCs w:val="22"/>
        </w:rPr>
        <w:t>t</w:t>
      </w:r>
      <w:r w:rsidR="002F23BA">
        <w:rPr>
          <w:rFonts w:ascii="Calibri" w:hAnsi="Calibri" w:cs="Calibri"/>
          <w:sz w:val="22"/>
          <w:szCs w:val="22"/>
        </w:rPr>
        <w:t>o</w:t>
      </w:r>
      <w:r w:rsidR="0082403F">
        <w:rPr>
          <w:rFonts w:ascii="Calibri" w:hAnsi="Calibri" w:cs="Calibri"/>
          <w:sz w:val="22"/>
          <w:szCs w:val="22"/>
        </w:rPr>
        <w:t xml:space="preserve"> account for when an E/M visit is performed by both a physician and a NP or PA </w:t>
      </w:r>
      <w:r w:rsidR="0056517F">
        <w:rPr>
          <w:rFonts w:ascii="Calibri" w:hAnsi="Calibri" w:cs="Calibri"/>
          <w:sz w:val="22"/>
          <w:szCs w:val="22"/>
        </w:rPr>
        <w:t>who are in the same group. This new policy is part of</w:t>
      </w:r>
      <w:r w:rsidR="002F23BA">
        <w:rPr>
          <w:rFonts w:ascii="Calibri" w:hAnsi="Calibri" w:cs="Calibri"/>
          <w:sz w:val="22"/>
          <w:szCs w:val="22"/>
        </w:rPr>
        <w:t xml:space="preserve"> CMS’ </w:t>
      </w:r>
      <w:r w:rsidR="0056517F">
        <w:rPr>
          <w:rFonts w:ascii="Calibri" w:hAnsi="Calibri" w:cs="Calibri"/>
          <w:sz w:val="22"/>
          <w:szCs w:val="22"/>
        </w:rPr>
        <w:t xml:space="preserve">on-going process </w:t>
      </w:r>
      <w:r w:rsidR="002F23BA">
        <w:rPr>
          <w:rFonts w:ascii="Calibri" w:hAnsi="Calibri" w:cs="Calibri"/>
          <w:sz w:val="22"/>
          <w:szCs w:val="22"/>
        </w:rPr>
        <w:t xml:space="preserve">to </w:t>
      </w:r>
      <w:r w:rsidR="0056517F">
        <w:rPr>
          <w:rFonts w:ascii="Calibri" w:hAnsi="Calibri" w:cs="Calibri"/>
          <w:sz w:val="22"/>
          <w:szCs w:val="22"/>
        </w:rPr>
        <w:t>updat</w:t>
      </w:r>
      <w:r w:rsidR="002F23BA">
        <w:rPr>
          <w:rFonts w:ascii="Calibri" w:hAnsi="Calibri" w:cs="Calibri"/>
          <w:sz w:val="22"/>
          <w:szCs w:val="22"/>
        </w:rPr>
        <w:t>e</w:t>
      </w:r>
      <w:r w:rsidR="0056517F">
        <w:rPr>
          <w:rFonts w:ascii="Calibri" w:hAnsi="Calibri" w:cs="Calibri"/>
          <w:sz w:val="22"/>
          <w:szCs w:val="22"/>
        </w:rPr>
        <w:t xml:space="preserve"> </w:t>
      </w:r>
      <w:r w:rsidR="00045585">
        <w:rPr>
          <w:rFonts w:ascii="Calibri" w:hAnsi="Calibri" w:cs="Calibri"/>
          <w:sz w:val="22"/>
          <w:szCs w:val="22"/>
        </w:rPr>
        <w:t xml:space="preserve">all of </w:t>
      </w:r>
      <w:r w:rsidR="0056517F">
        <w:rPr>
          <w:rFonts w:ascii="Calibri" w:hAnsi="Calibri" w:cs="Calibri"/>
          <w:sz w:val="22"/>
          <w:szCs w:val="22"/>
        </w:rPr>
        <w:t>Medicare’s</w:t>
      </w:r>
      <w:r w:rsidR="00045585">
        <w:rPr>
          <w:rFonts w:ascii="Calibri" w:hAnsi="Calibri" w:cs="Calibri"/>
          <w:sz w:val="22"/>
          <w:szCs w:val="22"/>
        </w:rPr>
        <w:t xml:space="preserve"> </w:t>
      </w:r>
      <w:r w:rsidR="0056517F">
        <w:rPr>
          <w:rFonts w:ascii="Calibri" w:hAnsi="Calibri" w:cs="Calibri"/>
          <w:sz w:val="22"/>
          <w:szCs w:val="22"/>
        </w:rPr>
        <w:t>policies and payment rates around E/M services.</w:t>
      </w:r>
      <w:r w:rsidR="0068625F" w:rsidRPr="0068625F">
        <w:rPr>
          <w:rFonts w:ascii="Calibri" w:hAnsi="Calibri" w:cs="Calibri"/>
          <w:sz w:val="22"/>
          <w:szCs w:val="22"/>
        </w:rPr>
        <w:t xml:space="preserve"> </w:t>
      </w:r>
    </w:p>
    <w:p w14:paraId="58AC0BE4" w14:textId="77777777" w:rsidR="00E01199" w:rsidRPr="00DC0EC1" w:rsidRDefault="00E01199" w:rsidP="00934BDD">
      <w:pPr>
        <w:rPr>
          <w:rFonts w:ascii="Calibri" w:hAnsi="Calibri" w:cs="Calibri"/>
          <w:sz w:val="22"/>
          <w:szCs w:val="22"/>
        </w:rPr>
      </w:pPr>
    </w:p>
    <w:p w14:paraId="19A4F9C2" w14:textId="5F51F094" w:rsidR="00E01199" w:rsidRPr="00DC0EC1" w:rsidRDefault="00E01199" w:rsidP="00E01199">
      <w:pPr>
        <w:rPr>
          <w:rFonts w:ascii="Calibri" w:hAnsi="Calibri" w:cs="Calibri"/>
          <w:sz w:val="22"/>
          <w:szCs w:val="22"/>
        </w:rPr>
      </w:pPr>
      <w:r w:rsidRPr="00DC0EC1">
        <w:rPr>
          <w:rFonts w:ascii="Calibri" w:hAnsi="Calibri" w:cs="Calibri"/>
          <w:sz w:val="22"/>
          <w:szCs w:val="22"/>
        </w:rPr>
        <w:t xml:space="preserve">On November </w:t>
      </w:r>
      <w:r w:rsidR="0020284B" w:rsidRPr="00DC0EC1">
        <w:rPr>
          <w:rFonts w:ascii="Calibri" w:hAnsi="Calibri" w:cs="Calibri"/>
          <w:sz w:val="22"/>
          <w:szCs w:val="22"/>
        </w:rPr>
        <w:t>2</w:t>
      </w:r>
      <w:r w:rsidRPr="00DC0EC1">
        <w:rPr>
          <w:rFonts w:ascii="Calibri" w:hAnsi="Calibri" w:cs="Calibri"/>
          <w:sz w:val="22"/>
          <w:szCs w:val="22"/>
        </w:rPr>
        <w:t xml:space="preserve">, 2022, CMS finalized a year-long delay of the full time-based criteria until 2024. </w:t>
      </w:r>
    </w:p>
    <w:p w14:paraId="44003B93" w14:textId="77777777" w:rsidR="00DC0EC1" w:rsidRDefault="00DC0EC1" w:rsidP="00674BFC">
      <w:pPr>
        <w:rPr>
          <w:rFonts w:ascii="Calibri" w:hAnsi="Calibri" w:cs="Calibri"/>
          <w:sz w:val="22"/>
          <w:szCs w:val="22"/>
          <w:u w:val="single"/>
        </w:rPr>
      </w:pPr>
    </w:p>
    <w:p w14:paraId="0574724F" w14:textId="781D5386" w:rsidR="00DC0EC1" w:rsidRPr="0020284B" w:rsidRDefault="00DC0EC1" w:rsidP="00DC0EC1">
      <w:pPr>
        <w:rPr>
          <w:rFonts w:ascii="Calibri" w:hAnsi="Calibri" w:cs="Calibri"/>
          <w:sz w:val="22"/>
          <w:szCs w:val="22"/>
          <w:u w:val="single"/>
        </w:rPr>
      </w:pPr>
      <w:r w:rsidRPr="0020284B">
        <w:rPr>
          <w:rFonts w:ascii="Calibri" w:hAnsi="Calibri" w:cs="Calibri"/>
          <w:sz w:val="22"/>
          <w:szCs w:val="22"/>
          <w:u w:val="single"/>
        </w:rPr>
        <w:t xml:space="preserve">UPDATE: On </w:t>
      </w:r>
      <w:r>
        <w:rPr>
          <w:rFonts w:ascii="Calibri" w:hAnsi="Calibri" w:cs="Calibri"/>
          <w:sz w:val="22"/>
          <w:szCs w:val="22"/>
          <w:u w:val="single"/>
        </w:rPr>
        <w:t>July 13, 2023</w:t>
      </w:r>
      <w:r w:rsidRPr="0020284B">
        <w:rPr>
          <w:rFonts w:ascii="Calibri" w:hAnsi="Calibri" w:cs="Calibri"/>
          <w:sz w:val="22"/>
          <w:szCs w:val="22"/>
          <w:u w:val="single"/>
        </w:rPr>
        <w:t>, CMS</w:t>
      </w:r>
      <w:r>
        <w:rPr>
          <w:rFonts w:ascii="Calibri" w:hAnsi="Calibri" w:cs="Calibri"/>
          <w:sz w:val="22"/>
          <w:szCs w:val="22"/>
          <w:u w:val="single"/>
        </w:rPr>
        <w:t xml:space="preserve"> published the CY2024 Physician Fee Schedule proposed rule, with a delay of the implementation of the time-based definition of a “substantive portion” of a split (or shared) visit through at least December 31</w:t>
      </w:r>
      <w:r w:rsidRPr="00DC0EC1">
        <w:rPr>
          <w:rFonts w:ascii="Calibri" w:hAnsi="Calibri" w:cs="Calibri"/>
          <w:sz w:val="22"/>
          <w:szCs w:val="22"/>
          <w:u w:val="single"/>
          <w:vertAlign w:val="superscript"/>
        </w:rPr>
        <w:t>st</w:t>
      </w:r>
      <w:r>
        <w:rPr>
          <w:rFonts w:ascii="Calibri" w:hAnsi="Calibri" w:cs="Calibri"/>
          <w:sz w:val="22"/>
          <w:szCs w:val="22"/>
          <w:u w:val="single"/>
        </w:rPr>
        <w:t xml:space="preserve">, 2024.  </w:t>
      </w:r>
      <w:r w:rsidRPr="0020284B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The final rule will be released in November 2023.  In the meantime, </w:t>
      </w:r>
      <w:r w:rsidRPr="0020284B">
        <w:rPr>
          <w:rFonts w:ascii="Calibri" w:hAnsi="Calibri" w:cs="Calibri"/>
          <w:sz w:val="22"/>
          <w:szCs w:val="22"/>
          <w:u w:val="single"/>
        </w:rPr>
        <w:t>SHM continues to monitor the impact of the policy</w:t>
      </w:r>
      <w:r>
        <w:rPr>
          <w:rFonts w:ascii="Calibri" w:hAnsi="Calibri" w:cs="Calibri"/>
          <w:sz w:val="22"/>
          <w:szCs w:val="22"/>
          <w:u w:val="single"/>
        </w:rPr>
        <w:t xml:space="preserve">, </w:t>
      </w:r>
      <w:r w:rsidRPr="0020284B">
        <w:rPr>
          <w:rFonts w:ascii="Calibri" w:hAnsi="Calibri" w:cs="Calibri"/>
          <w:sz w:val="22"/>
          <w:szCs w:val="22"/>
          <w:u w:val="single"/>
        </w:rPr>
        <w:t xml:space="preserve">will be commenting on the proposed rule asking for additional changes, and continue to engage with members and other specialty stakeholders. </w:t>
      </w:r>
    </w:p>
    <w:p w14:paraId="3A15DE7D" w14:textId="77777777" w:rsidR="00DC0EC1" w:rsidRPr="0020284B" w:rsidRDefault="00DC0EC1" w:rsidP="00674BFC">
      <w:pPr>
        <w:rPr>
          <w:rFonts w:ascii="Calibri" w:hAnsi="Calibri" w:cs="Calibri"/>
          <w:sz w:val="22"/>
          <w:szCs w:val="22"/>
          <w:u w:val="single"/>
        </w:rPr>
      </w:pPr>
    </w:p>
    <w:p w14:paraId="08CD8BC9" w14:textId="77777777" w:rsidR="00F550F1" w:rsidRDefault="00F550F1" w:rsidP="00674BFC">
      <w:pPr>
        <w:rPr>
          <w:rFonts w:ascii="Calibri" w:hAnsi="Calibri" w:cs="Calibri"/>
          <w:sz w:val="22"/>
          <w:szCs w:val="22"/>
        </w:rPr>
      </w:pPr>
    </w:p>
    <w:p w14:paraId="2DD44E6E" w14:textId="45D8451E" w:rsidR="0056517F" w:rsidRDefault="0056517F" w:rsidP="00674B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Policy Details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6DF59846" w14:textId="31915850" w:rsidR="00C958B8" w:rsidRPr="00C958B8" w:rsidRDefault="00C958B8" w:rsidP="00E05F4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CMS defines </w:t>
      </w:r>
      <w:r w:rsidR="00045585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split (or shared) visit as “an E/M visit in the facility setting that is performed in part by both a physician and an NPP who are in the same group, in accordance with applicable laws and regulations” </w:t>
      </w:r>
      <w:r w:rsidR="00E05F4B">
        <w:rPr>
          <w:rFonts w:ascii="Calibri" w:hAnsi="Calibri" w:cs="Calibri"/>
          <w:sz w:val="22"/>
          <w:szCs w:val="22"/>
        </w:rPr>
        <w:t>that</w:t>
      </w:r>
      <w:r w:rsidR="00045585">
        <w:rPr>
          <w:rFonts w:ascii="Calibri" w:hAnsi="Calibri" w:cs="Calibri"/>
          <w:sz w:val="22"/>
          <w:szCs w:val="22"/>
        </w:rPr>
        <w:t xml:space="preserve"> either provider could bill if the visit was performed independently. </w:t>
      </w:r>
      <w:r w:rsidR="00223ED3">
        <w:rPr>
          <w:rFonts w:ascii="Calibri" w:hAnsi="Calibri" w:cs="Calibri"/>
          <w:sz w:val="22"/>
          <w:szCs w:val="22"/>
        </w:rPr>
        <w:t>The clinician who performs the substantive portion and bills the visit would be required to sign and date the medical record. However</w:t>
      </w:r>
      <w:r w:rsidR="00D25233">
        <w:rPr>
          <w:rFonts w:ascii="Calibri" w:hAnsi="Calibri" w:cs="Calibri"/>
          <w:sz w:val="22"/>
          <w:szCs w:val="22"/>
        </w:rPr>
        <w:t>,</w:t>
      </w:r>
      <w:r w:rsidR="00223ED3">
        <w:rPr>
          <w:rFonts w:ascii="Calibri" w:hAnsi="Calibri" w:cs="Calibri"/>
          <w:sz w:val="22"/>
          <w:szCs w:val="22"/>
        </w:rPr>
        <w:t xml:space="preserve"> both clinicians must be identified in the medical record.</w:t>
      </w:r>
    </w:p>
    <w:p w14:paraId="4BAE194F" w14:textId="77777777" w:rsidR="00C258A1" w:rsidRDefault="00C258A1">
      <w:pPr>
        <w:rPr>
          <w:rFonts w:ascii="Calibri" w:hAnsi="Calibri" w:cs="Calibri"/>
          <w:sz w:val="22"/>
          <w:szCs w:val="22"/>
        </w:rPr>
      </w:pPr>
    </w:p>
    <w:p w14:paraId="264DB47F" w14:textId="57C8F272" w:rsidR="00714180" w:rsidRPr="00E05F4B" w:rsidRDefault="0071418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CMS indicates the physician or NPP who performs the “</w:t>
      </w:r>
      <w:r w:rsidRPr="00714180">
        <w:rPr>
          <w:rFonts w:ascii="Calibri" w:hAnsi="Calibri" w:cs="Calibri"/>
          <w:b/>
          <w:bCs/>
          <w:sz w:val="22"/>
          <w:szCs w:val="22"/>
        </w:rPr>
        <w:t>substantive portion</w:t>
      </w:r>
      <w:r>
        <w:rPr>
          <w:rFonts w:ascii="Calibri" w:hAnsi="Calibri" w:cs="Calibri"/>
          <w:sz w:val="22"/>
          <w:szCs w:val="22"/>
        </w:rPr>
        <w:t>” of the E/M visit would bill for the visit. They define “</w:t>
      </w:r>
      <w:r w:rsidRPr="00714180">
        <w:rPr>
          <w:rFonts w:ascii="Calibri" w:hAnsi="Calibri" w:cs="Calibri"/>
          <w:b/>
          <w:bCs/>
          <w:sz w:val="22"/>
          <w:szCs w:val="22"/>
        </w:rPr>
        <w:t>substantive portion</w:t>
      </w:r>
      <w:r>
        <w:rPr>
          <w:rFonts w:ascii="Calibri" w:hAnsi="Calibri" w:cs="Calibri"/>
          <w:sz w:val="22"/>
          <w:szCs w:val="22"/>
        </w:rPr>
        <w:t>” as more than half the total time spent performing the visit</w:t>
      </w:r>
      <w:r w:rsidR="00C258A1">
        <w:rPr>
          <w:rFonts w:ascii="Calibri" w:hAnsi="Calibri" w:cs="Calibri"/>
          <w:sz w:val="22"/>
          <w:szCs w:val="22"/>
        </w:rPr>
        <w:t>,</w:t>
      </w:r>
      <w:r w:rsidR="00E01199">
        <w:rPr>
          <w:rFonts w:ascii="Calibri" w:hAnsi="Calibri" w:cs="Calibri"/>
          <w:sz w:val="22"/>
          <w:szCs w:val="22"/>
        </w:rPr>
        <w:t xml:space="preserve"> and in the original 2022 rule this was to go into effect in 2023</w:t>
      </w:r>
      <w:r w:rsidR="00C258A1">
        <w:rPr>
          <w:rFonts w:ascii="Calibri" w:hAnsi="Calibri" w:cs="Calibri"/>
          <w:sz w:val="22"/>
          <w:szCs w:val="22"/>
        </w:rPr>
        <w:t>.</w:t>
      </w:r>
      <w:r w:rsidR="00E05F4B">
        <w:rPr>
          <w:rFonts w:ascii="Calibri" w:hAnsi="Calibri" w:cs="Calibri"/>
          <w:sz w:val="22"/>
          <w:szCs w:val="22"/>
        </w:rPr>
        <w:t xml:space="preserve"> </w:t>
      </w:r>
      <w:r w:rsidR="00E01199">
        <w:rPr>
          <w:rFonts w:ascii="Calibri" w:hAnsi="Calibri" w:cs="Calibri"/>
          <w:sz w:val="22"/>
          <w:szCs w:val="22"/>
        </w:rPr>
        <w:t xml:space="preserve">However, </w:t>
      </w:r>
      <w:r w:rsidR="0020284B">
        <w:rPr>
          <w:rFonts w:ascii="Calibri" w:hAnsi="Calibri" w:cs="Calibri"/>
          <w:sz w:val="22"/>
          <w:szCs w:val="22"/>
        </w:rPr>
        <w:t>implementation of only</w:t>
      </w:r>
      <w:r w:rsidR="00E01199">
        <w:rPr>
          <w:rFonts w:ascii="Calibri" w:hAnsi="Calibri" w:cs="Calibri"/>
          <w:sz w:val="22"/>
          <w:szCs w:val="22"/>
        </w:rPr>
        <w:t xml:space="preserve"> time-based criteria has been delayed until 2024.  Until then</w:t>
      </w:r>
      <w:r w:rsidR="00E05F4B">
        <w:rPr>
          <w:rFonts w:ascii="Calibri" w:hAnsi="Calibri" w:cs="Calibri"/>
          <w:sz w:val="22"/>
          <w:szCs w:val="22"/>
        </w:rPr>
        <w:t>, the transitional definition of “</w:t>
      </w:r>
      <w:r w:rsidR="00E05F4B">
        <w:rPr>
          <w:rFonts w:ascii="Calibri" w:hAnsi="Calibri" w:cs="Calibri"/>
          <w:b/>
          <w:bCs/>
          <w:sz w:val="22"/>
          <w:szCs w:val="22"/>
        </w:rPr>
        <w:t>substantive portion</w:t>
      </w:r>
      <w:r w:rsidR="00E05F4B">
        <w:rPr>
          <w:rFonts w:ascii="Calibri" w:hAnsi="Calibri" w:cs="Calibri"/>
          <w:sz w:val="22"/>
          <w:szCs w:val="22"/>
        </w:rPr>
        <w:t xml:space="preserve">” includes </w:t>
      </w:r>
      <w:r w:rsidR="000A5CE0">
        <w:rPr>
          <w:rFonts w:ascii="Calibri" w:hAnsi="Calibri" w:cs="Calibri"/>
          <w:sz w:val="22"/>
          <w:szCs w:val="22"/>
        </w:rPr>
        <w:t xml:space="preserve">performing the </w:t>
      </w:r>
      <w:r w:rsidR="00E05F4B">
        <w:rPr>
          <w:rFonts w:ascii="Calibri" w:hAnsi="Calibri" w:cs="Calibri"/>
          <w:sz w:val="22"/>
          <w:szCs w:val="22"/>
        </w:rPr>
        <w:t>history, or exam, or medical decision making (MDM)</w:t>
      </w:r>
      <w:r w:rsidR="000A5CE0">
        <w:rPr>
          <w:rFonts w:ascii="Calibri" w:hAnsi="Calibri" w:cs="Calibri"/>
          <w:sz w:val="22"/>
          <w:szCs w:val="22"/>
        </w:rPr>
        <w:t xml:space="preserve"> in its entirety</w:t>
      </w:r>
      <w:r w:rsidR="00E05F4B">
        <w:rPr>
          <w:rFonts w:ascii="Calibri" w:hAnsi="Calibri" w:cs="Calibri"/>
          <w:sz w:val="22"/>
          <w:szCs w:val="22"/>
        </w:rPr>
        <w:t xml:space="preserve">, or more than half of total time. This transitional definition applies to E/M families for Inpatient/Observation/Hospital/Nursing Facility codes, </w:t>
      </w:r>
      <w:r w:rsidR="00F550F1">
        <w:rPr>
          <w:rFonts w:ascii="Calibri" w:hAnsi="Calibri" w:cs="Calibri"/>
          <w:sz w:val="22"/>
          <w:szCs w:val="22"/>
        </w:rPr>
        <w:t>E</w:t>
      </w:r>
      <w:r w:rsidR="00E05F4B">
        <w:rPr>
          <w:rFonts w:ascii="Calibri" w:hAnsi="Calibri" w:cs="Calibri"/>
          <w:sz w:val="22"/>
          <w:szCs w:val="22"/>
        </w:rPr>
        <w:t xml:space="preserve">mergency Department codes, Other Outpatient (not office visit) codes. </w:t>
      </w:r>
      <w:r w:rsidR="006B55B9">
        <w:rPr>
          <w:rFonts w:ascii="Calibri" w:hAnsi="Calibri" w:cs="Calibri"/>
          <w:sz w:val="22"/>
          <w:szCs w:val="22"/>
        </w:rPr>
        <w:t>There is not a transitional year for c</w:t>
      </w:r>
      <w:r w:rsidR="00E05F4B">
        <w:rPr>
          <w:rFonts w:ascii="Calibri" w:hAnsi="Calibri" w:cs="Calibri"/>
          <w:sz w:val="22"/>
          <w:szCs w:val="22"/>
        </w:rPr>
        <w:t>ritical care E/M codes</w:t>
      </w:r>
      <w:r w:rsidR="006B55B9">
        <w:rPr>
          <w:rFonts w:ascii="Calibri" w:hAnsi="Calibri" w:cs="Calibri"/>
          <w:sz w:val="22"/>
          <w:szCs w:val="22"/>
        </w:rPr>
        <w:t>, which</w:t>
      </w:r>
      <w:r w:rsidR="00E05F4B">
        <w:rPr>
          <w:rFonts w:ascii="Calibri" w:hAnsi="Calibri" w:cs="Calibri"/>
          <w:sz w:val="22"/>
          <w:szCs w:val="22"/>
        </w:rPr>
        <w:t xml:space="preserve"> </w:t>
      </w:r>
      <w:r w:rsidR="006B55B9">
        <w:rPr>
          <w:rFonts w:ascii="Calibri" w:hAnsi="Calibri" w:cs="Calibri"/>
          <w:sz w:val="22"/>
          <w:szCs w:val="22"/>
        </w:rPr>
        <w:t>must</w:t>
      </w:r>
      <w:r w:rsidR="00456237">
        <w:rPr>
          <w:rFonts w:ascii="Calibri" w:hAnsi="Calibri" w:cs="Calibri"/>
          <w:sz w:val="22"/>
          <w:szCs w:val="22"/>
        </w:rPr>
        <w:t xml:space="preserve"> be billed using the split (or shared) policy based on more than half of total time starting on January 1, 2022.</w:t>
      </w:r>
    </w:p>
    <w:p w14:paraId="75D3836B" w14:textId="4E658ACB" w:rsidR="00714180" w:rsidRDefault="00714180">
      <w:pPr>
        <w:rPr>
          <w:rFonts w:ascii="Calibri" w:hAnsi="Calibri" w:cs="Calibri"/>
          <w:sz w:val="22"/>
          <w:szCs w:val="22"/>
        </w:rPr>
      </w:pPr>
    </w:p>
    <w:p w14:paraId="288A6F61" w14:textId="44E3CA34" w:rsidR="00714180" w:rsidRDefault="003B5D72" w:rsidP="005523A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Total time would be calculated </w:t>
      </w:r>
      <w:r w:rsidR="00547D7C">
        <w:rPr>
          <w:rFonts w:ascii="Calibri" w:hAnsi="Calibri" w:cs="Calibri"/>
          <w:sz w:val="22"/>
          <w:szCs w:val="22"/>
        </w:rPr>
        <w:t xml:space="preserve">to include </w:t>
      </w:r>
      <w:r w:rsidR="00547D7C" w:rsidRPr="00F550F1">
        <w:rPr>
          <w:rFonts w:ascii="Calibri" w:hAnsi="Calibri" w:cs="Calibri"/>
          <w:i/>
          <w:iCs/>
          <w:sz w:val="22"/>
          <w:szCs w:val="22"/>
        </w:rPr>
        <w:t>distinct</w:t>
      </w:r>
      <w:r w:rsidR="00547D7C">
        <w:rPr>
          <w:rFonts w:ascii="Calibri" w:hAnsi="Calibri" w:cs="Calibri"/>
          <w:sz w:val="22"/>
          <w:szCs w:val="22"/>
        </w:rPr>
        <w:t xml:space="preserve"> time each provider spent with the patient</w:t>
      </w:r>
      <w:r w:rsidR="005941C7">
        <w:rPr>
          <w:rFonts w:ascii="Calibri" w:hAnsi="Calibri" w:cs="Calibri"/>
          <w:sz w:val="22"/>
          <w:szCs w:val="22"/>
        </w:rPr>
        <w:t xml:space="preserve">. Qualifying activities to count for time are those </w:t>
      </w:r>
      <w:r w:rsidR="00547D7C">
        <w:rPr>
          <w:rFonts w:ascii="Calibri" w:hAnsi="Calibri" w:cs="Calibri"/>
          <w:sz w:val="22"/>
          <w:szCs w:val="22"/>
        </w:rPr>
        <w:t>activities included in the CPT E/M guidelines</w:t>
      </w:r>
      <w:r w:rsidR="00E515BE">
        <w:rPr>
          <w:rFonts w:ascii="Calibri" w:hAnsi="Calibri" w:cs="Calibri"/>
          <w:sz w:val="22"/>
          <w:szCs w:val="22"/>
        </w:rPr>
        <w:t>:</w:t>
      </w:r>
    </w:p>
    <w:p w14:paraId="1273995E" w14:textId="19351BCD" w:rsidR="00E515BE" w:rsidRPr="00F550F1" w:rsidRDefault="00E515BE" w:rsidP="00F550F1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550F1">
        <w:rPr>
          <w:rFonts w:ascii="Calibri" w:hAnsi="Calibri" w:cs="Calibri"/>
          <w:sz w:val="22"/>
          <w:szCs w:val="22"/>
        </w:rPr>
        <w:t>Preparing to see the patient</w:t>
      </w:r>
      <w:r w:rsidR="005941C7">
        <w:rPr>
          <w:rFonts w:ascii="Calibri" w:hAnsi="Calibri" w:cs="Calibri"/>
          <w:sz w:val="22"/>
          <w:szCs w:val="22"/>
        </w:rPr>
        <w:t xml:space="preserve"> </w:t>
      </w:r>
      <w:r w:rsidR="00E7799E">
        <w:rPr>
          <w:rFonts w:ascii="Calibri" w:hAnsi="Calibri" w:cs="Calibri"/>
          <w:sz w:val="22"/>
          <w:szCs w:val="22"/>
        </w:rPr>
        <w:t>(for example, review of tests)</w:t>
      </w:r>
    </w:p>
    <w:p w14:paraId="6412F78B" w14:textId="0CB9BBD6" w:rsidR="00E515BE" w:rsidRPr="00F550F1" w:rsidRDefault="00E515BE" w:rsidP="00F550F1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550F1">
        <w:rPr>
          <w:rFonts w:ascii="Calibri" w:hAnsi="Calibri" w:cs="Calibri"/>
          <w:sz w:val="22"/>
          <w:szCs w:val="22"/>
        </w:rPr>
        <w:t>Ordering medications, tests, or procedures</w:t>
      </w:r>
    </w:p>
    <w:p w14:paraId="6258C5E0" w14:textId="168BA995" w:rsidR="00E515BE" w:rsidRPr="00F550F1" w:rsidRDefault="00E515BE" w:rsidP="00F550F1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550F1">
        <w:rPr>
          <w:rFonts w:ascii="Calibri" w:hAnsi="Calibri" w:cs="Calibri"/>
          <w:sz w:val="22"/>
          <w:szCs w:val="22"/>
        </w:rPr>
        <w:t>Care coordination</w:t>
      </w:r>
      <w:r w:rsidR="00010913">
        <w:rPr>
          <w:rFonts w:ascii="Calibri" w:hAnsi="Calibri" w:cs="Calibri"/>
          <w:sz w:val="22"/>
          <w:szCs w:val="22"/>
        </w:rPr>
        <w:t xml:space="preserve"> (when not separately reported)</w:t>
      </w:r>
    </w:p>
    <w:p w14:paraId="7334DC28" w14:textId="5AE45015" w:rsidR="00E515BE" w:rsidRPr="00F550F1" w:rsidRDefault="00E515BE" w:rsidP="00F550F1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550F1">
        <w:rPr>
          <w:rFonts w:ascii="Calibri" w:hAnsi="Calibri" w:cs="Calibri"/>
          <w:sz w:val="22"/>
          <w:szCs w:val="22"/>
        </w:rPr>
        <w:t xml:space="preserve">Obtaining and/or reviewing separately obtained history </w:t>
      </w:r>
    </w:p>
    <w:p w14:paraId="03E10C7A" w14:textId="10734B44" w:rsidR="00E515BE" w:rsidRPr="00F550F1" w:rsidRDefault="00E515BE" w:rsidP="00F550F1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550F1">
        <w:rPr>
          <w:rFonts w:ascii="Calibri" w:hAnsi="Calibri" w:cs="Calibri"/>
          <w:sz w:val="22"/>
          <w:szCs w:val="22"/>
        </w:rPr>
        <w:t xml:space="preserve">Referring and communicating with other </w:t>
      </w:r>
      <w:r w:rsidR="00E7799E">
        <w:rPr>
          <w:rFonts w:ascii="Calibri" w:hAnsi="Calibri" w:cs="Calibri"/>
          <w:sz w:val="22"/>
          <w:szCs w:val="22"/>
        </w:rPr>
        <w:t>health care professionals (when not separately reported)</w:t>
      </w:r>
    </w:p>
    <w:p w14:paraId="20141539" w14:textId="026A554A" w:rsidR="00E515BE" w:rsidRPr="00F550F1" w:rsidRDefault="00E515BE" w:rsidP="00F550F1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550F1">
        <w:rPr>
          <w:rFonts w:ascii="Calibri" w:hAnsi="Calibri" w:cs="Calibri"/>
          <w:sz w:val="22"/>
          <w:szCs w:val="22"/>
        </w:rPr>
        <w:t>Performing medically appropriate exam and/or evaluation</w:t>
      </w:r>
    </w:p>
    <w:p w14:paraId="38721CA3" w14:textId="61F3E253" w:rsidR="00E515BE" w:rsidRPr="00F550F1" w:rsidRDefault="00E515BE" w:rsidP="00F550F1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550F1">
        <w:rPr>
          <w:rFonts w:ascii="Calibri" w:hAnsi="Calibri" w:cs="Calibri"/>
          <w:sz w:val="22"/>
          <w:szCs w:val="22"/>
        </w:rPr>
        <w:t xml:space="preserve">Documenting clinical information in the </w:t>
      </w:r>
      <w:r w:rsidR="00E7799E">
        <w:rPr>
          <w:rFonts w:ascii="Calibri" w:hAnsi="Calibri" w:cs="Calibri"/>
          <w:sz w:val="22"/>
          <w:szCs w:val="22"/>
        </w:rPr>
        <w:t>EHR</w:t>
      </w:r>
      <w:r w:rsidR="00010913">
        <w:rPr>
          <w:rFonts w:ascii="Calibri" w:hAnsi="Calibri" w:cs="Calibri"/>
          <w:sz w:val="22"/>
          <w:szCs w:val="22"/>
        </w:rPr>
        <w:t xml:space="preserve"> or other health record</w:t>
      </w:r>
    </w:p>
    <w:p w14:paraId="1925B56D" w14:textId="2E04AC9E" w:rsidR="00E515BE" w:rsidRPr="00F550F1" w:rsidRDefault="00E515BE" w:rsidP="00F550F1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550F1">
        <w:rPr>
          <w:rFonts w:ascii="Calibri" w:hAnsi="Calibri" w:cs="Calibri"/>
          <w:sz w:val="22"/>
          <w:szCs w:val="22"/>
        </w:rPr>
        <w:lastRenderedPageBreak/>
        <w:t>Counseling and educating the patient/family/caregiver</w:t>
      </w:r>
    </w:p>
    <w:p w14:paraId="045EEE56" w14:textId="66D3FA4B" w:rsidR="00E515BE" w:rsidRDefault="00E515BE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550F1">
        <w:rPr>
          <w:rFonts w:ascii="Calibri" w:hAnsi="Calibri" w:cs="Calibri"/>
          <w:sz w:val="22"/>
          <w:szCs w:val="22"/>
        </w:rPr>
        <w:t>Independently interpreting results and communicating to the patient/family/caregiver</w:t>
      </w:r>
    </w:p>
    <w:p w14:paraId="6D35EABB" w14:textId="4FFCA818" w:rsidR="00010913" w:rsidRDefault="00010913" w:rsidP="00010913">
      <w:pPr>
        <w:rPr>
          <w:rFonts w:ascii="Calibri" w:hAnsi="Calibri" w:cs="Calibri"/>
          <w:sz w:val="22"/>
          <w:szCs w:val="22"/>
        </w:rPr>
      </w:pPr>
    </w:p>
    <w:p w14:paraId="2AC98772" w14:textId="52660E36" w:rsidR="00010913" w:rsidRDefault="00010913" w:rsidP="000109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Activities that could not be counted as time include:</w:t>
      </w:r>
    </w:p>
    <w:p w14:paraId="303C1C96" w14:textId="128EE64D" w:rsidR="00010913" w:rsidRDefault="00010913" w:rsidP="00010913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Performance of other services that are reported separately</w:t>
      </w:r>
    </w:p>
    <w:p w14:paraId="0F25E2FB" w14:textId="00BEA89A" w:rsidR="00010913" w:rsidRDefault="00010913" w:rsidP="00010913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Travel</w:t>
      </w:r>
    </w:p>
    <w:p w14:paraId="2D56C010" w14:textId="1495257B" w:rsidR="00010913" w:rsidRPr="00F550F1" w:rsidRDefault="00010913" w:rsidP="00F550F1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Teaching that is general and not limited to discussion that is required for the management of a specific patient</w:t>
      </w:r>
    </w:p>
    <w:p w14:paraId="5E9EE73C" w14:textId="5D25637A" w:rsidR="00E515BE" w:rsidRDefault="00E6582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CMS requires that at least one of the providers in the scenario sees the patient face-to-face, but it does not have to be the provider that is billing for the substantive portion of the visit.  </w:t>
      </w:r>
      <w:r w:rsidR="005523A0">
        <w:rPr>
          <w:rFonts w:ascii="Calibri" w:hAnsi="Calibri" w:cs="Calibri"/>
          <w:sz w:val="22"/>
          <w:szCs w:val="22"/>
        </w:rPr>
        <w:t xml:space="preserve">In instances when both providers jointly care for or discuss the patient, that overlapping time should only count towards one of those providers.  </w:t>
      </w:r>
    </w:p>
    <w:p w14:paraId="04255B8C" w14:textId="3675D1F6" w:rsidR="00F74CBF" w:rsidRDefault="00F74CBF">
      <w:pPr>
        <w:rPr>
          <w:rFonts w:ascii="Calibri" w:hAnsi="Calibri" w:cs="Calibri"/>
          <w:sz w:val="22"/>
          <w:szCs w:val="22"/>
        </w:rPr>
      </w:pPr>
    </w:p>
    <w:p w14:paraId="6104A3C1" w14:textId="5309F0EE" w:rsidR="00223ED3" w:rsidRDefault="00223E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CMS indicated that the providers must be in the “</w:t>
      </w:r>
      <w:r w:rsidRPr="00223ED3">
        <w:rPr>
          <w:rFonts w:ascii="Calibri" w:hAnsi="Calibri" w:cs="Calibri"/>
          <w:b/>
          <w:bCs/>
          <w:sz w:val="22"/>
          <w:szCs w:val="22"/>
        </w:rPr>
        <w:t>sa</w:t>
      </w:r>
      <w:r>
        <w:rPr>
          <w:rFonts w:ascii="Calibri" w:hAnsi="Calibri" w:cs="Calibri"/>
          <w:b/>
          <w:bCs/>
          <w:sz w:val="22"/>
          <w:szCs w:val="22"/>
        </w:rPr>
        <w:t>me group</w:t>
      </w:r>
      <w:r>
        <w:rPr>
          <w:rFonts w:ascii="Calibri" w:hAnsi="Calibri" w:cs="Calibri"/>
          <w:sz w:val="22"/>
          <w:szCs w:val="22"/>
        </w:rPr>
        <w:t>” but does not further define group for the purposes of this policy</w:t>
      </w:r>
      <w:r w:rsidR="0020284B">
        <w:rPr>
          <w:rFonts w:ascii="Calibri" w:hAnsi="Calibri" w:cs="Calibri"/>
          <w:sz w:val="22"/>
          <w:szCs w:val="22"/>
        </w:rPr>
        <w:t>.</w:t>
      </w:r>
    </w:p>
    <w:p w14:paraId="06C66B04" w14:textId="050419E0" w:rsidR="00223ED3" w:rsidRDefault="00223ED3">
      <w:pPr>
        <w:rPr>
          <w:rFonts w:ascii="Calibri" w:hAnsi="Calibri" w:cs="Calibri"/>
          <w:sz w:val="22"/>
          <w:szCs w:val="22"/>
        </w:rPr>
      </w:pPr>
    </w:p>
    <w:p w14:paraId="09615A4E" w14:textId="40609AE5" w:rsidR="00223ED3" w:rsidRPr="00223ED3" w:rsidRDefault="00223ED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Beginning in 2022, services furnished using split (or shared) billing will require a modifier</w:t>
      </w:r>
      <w:r w:rsidR="008951F1">
        <w:rPr>
          <w:rFonts w:ascii="Calibri" w:hAnsi="Calibri" w:cs="Calibri"/>
          <w:sz w:val="22"/>
          <w:szCs w:val="22"/>
        </w:rPr>
        <w:t xml:space="preserve"> (-FS)</w:t>
      </w:r>
      <w:r>
        <w:rPr>
          <w:rFonts w:ascii="Calibri" w:hAnsi="Calibri" w:cs="Calibri"/>
          <w:sz w:val="22"/>
          <w:szCs w:val="22"/>
        </w:rPr>
        <w:t xml:space="preserve"> on the claim to identify services that are billed using the split (or shared) visits policy. </w:t>
      </w:r>
      <w:r w:rsidR="000A5CE0">
        <w:rPr>
          <w:rFonts w:ascii="Calibri" w:hAnsi="Calibri" w:cs="Calibri"/>
          <w:sz w:val="22"/>
          <w:szCs w:val="22"/>
        </w:rPr>
        <w:t xml:space="preserve">Documentation must identify the two individuals who performed the service, and the individual performing the substantive portion, and </w:t>
      </w:r>
      <w:r w:rsidR="003F3184">
        <w:rPr>
          <w:rFonts w:ascii="Calibri" w:hAnsi="Calibri" w:cs="Calibri"/>
          <w:sz w:val="22"/>
          <w:szCs w:val="22"/>
        </w:rPr>
        <w:t xml:space="preserve">who </w:t>
      </w:r>
      <w:r w:rsidR="000A5CE0">
        <w:rPr>
          <w:rFonts w:ascii="Calibri" w:hAnsi="Calibri" w:cs="Calibri"/>
          <w:sz w:val="22"/>
          <w:szCs w:val="22"/>
        </w:rPr>
        <w:t xml:space="preserve">is therefore billing for the visit, must sign and date the medical record.    </w:t>
      </w:r>
    </w:p>
    <w:p w14:paraId="291776B4" w14:textId="77777777" w:rsidR="00223ED3" w:rsidRDefault="00223ED3">
      <w:pPr>
        <w:rPr>
          <w:rFonts w:ascii="Calibri" w:hAnsi="Calibri" w:cs="Calibri"/>
          <w:b/>
          <w:bCs/>
          <w:sz w:val="22"/>
          <w:szCs w:val="22"/>
        </w:rPr>
      </w:pPr>
    </w:p>
    <w:p w14:paraId="2E7722E4" w14:textId="3C47C9DA" w:rsidR="00F74CBF" w:rsidRDefault="00F74C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Prepare now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7FE41E63" w14:textId="6ECF1EA7" w:rsidR="00530A07" w:rsidRDefault="00F74CB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SHM advises groups to </w:t>
      </w:r>
      <w:r w:rsidR="00223ED3">
        <w:rPr>
          <w:rFonts w:ascii="Calibri" w:hAnsi="Calibri" w:cs="Calibri"/>
          <w:sz w:val="22"/>
          <w:szCs w:val="22"/>
        </w:rPr>
        <w:t xml:space="preserve">review the policy details </w:t>
      </w:r>
      <w:r w:rsidR="00D25233">
        <w:rPr>
          <w:rFonts w:ascii="Calibri" w:hAnsi="Calibri" w:cs="Calibri"/>
          <w:sz w:val="22"/>
          <w:szCs w:val="22"/>
        </w:rPr>
        <w:t xml:space="preserve">and begin planning for how they will implement split (or shared) billing. Given the </w:t>
      </w:r>
      <w:r w:rsidR="0020284B">
        <w:rPr>
          <w:rFonts w:ascii="Calibri" w:hAnsi="Calibri" w:cs="Calibri"/>
          <w:sz w:val="22"/>
          <w:szCs w:val="22"/>
        </w:rPr>
        <w:t xml:space="preserve">extension to the </w:t>
      </w:r>
      <w:r w:rsidR="00D25233">
        <w:rPr>
          <w:rFonts w:ascii="Calibri" w:hAnsi="Calibri" w:cs="Calibri"/>
          <w:sz w:val="22"/>
          <w:szCs w:val="22"/>
        </w:rPr>
        <w:t>transition</w:t>
      </w:r>
      <w:r w:rsidR="0020284B">
        <w:rPr>
          <w:rFonts w:ascii="Calibri" w:hAnsi="Calibri" w:cs="Calibri"/>
          <w:sz w:val="22"/>
          <w:szCs w:val="22"/>
        </w:rPr>
        <w:t xml:space="preserve"> period until 2024</w:t>
      </w:r>
      <w:r w:rsidR="00D25233">
        <w:rPr>
          <w:rFonts w:ascii="Calibri" w:hAnsi="Calibri" w:cs="Calibri"/>
          <w:sz w:val="22"/>
          <w:szCs w:val="22"/>
        </w:rPr>
        <w:t>, we recommend groups prioritize how they will implement the time-based component of the policy.</w:t>
      </w:r>
      <w:r w:rsidR="00357E3B">
        <w:rPr>
          <w:rFonts w:ascii="Calibri" w:hAnsi="Calibri" w:cs="Calibri"/>
          <w:sz w:val="22"/>
          <w:szCs w:val="22"/>
        </w:rPr>
        <w:t xml:space="preserve"> </w:t>
      </w:r>
    </w:p>
    <w:p w14:paraId="49FF48EB" w14:textId="619D4CFD" w:rsidR="00530A07" w:rsidRDefault="00530A07">
      <w:pPr>
        <w:rPr>
          <w:rFonts w:ascii="Calibri" w:hAnsi="Calibri" w:cs="Calibri"/>
          <w:sz w:val="22"/>
          <w:szCs w:val="22"/>
        </w:rPr>
      </w:pPr>
    </w:p>
    <w:p w14:paraId="6A9F7C25" w14:textId="526B5CF9" w:rsidR="00530A07" w:rsidRDefault="00530A0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more information:</w:t>
      </w:r>
    </w:p>
    <w:p w14:paraId="7BDA910C" w14:textId="575276D1" w:rsidR="00530A07" w:rsidRPr="00530A07" w:rsidRDefault="00000000" w:rsidP="00530A07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hyperlink r:id="rId8" w:anchor="group-tabs-node-course-default1" w:history="1">
        <w:r w:rsidR="00530A07" w:rsidRPr="00530A07">
          <w:rPr>
            <w:rStyle w:val="Hyperlink"/>
            <w:rFonts w:ascii="Calibri" w:hAnsi="Calibri" w:cs="Calibri"/>
            <w:sz w:val="22"/>
            <w:szCs w:val="22"/>
          </w:rPr>
          <w:t>Webinar - Split or Shared Billing: Changes to Team-Based Care and How Groups are Adapting</w:t>
        </w:r>
      </w:hyperlink>
      <w:r w:rsidR="00530A07" w:rsidRPr="00530A07">
        <w:rPr>
          <w:rFonts w:ascii="Calibri" w:hAnsi="Calibri" w:cs="Calibri"/>
          <w:sz w:val="22"/>
          <w:szCs w:val="22"/>
        </w:rPr>
        <w:t xml:space="preserve"> </w:t>
      </w:r>
    </w:p>
    <w:p w14:paraId="29263F30" w14:textId="457FBC55" w:rsidR="00530A07" w:rsidRPr="00530A07" w:rsidRDefault="00000000" w:rsidP="00530A07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hyperlink r:id="rId9" w:history="1">
        <w:r w:rsidR="00530A07" w:rsidRPr="00530A07">
          <w:rPr>
            <w:rStyle w:val="Hyperlink"/>
            <w:rFonts w:ascii="Calibri" w:hAnsi="Calibri" w:cs="Calibri"/>
            <w:sz w:val="22"/>
            <w:szCs w:val="22"/>
          </w:rPr>
          <w:t>Webinar - Multisite Group Leader SIG Forum on Split or Shared Billing</w:t>
        </w:r>
      </w:hyperlink>
    </w:p>
    <w:p w14:paraId="6A60BA84" w14:textId="77777777" w:rsidR="00530A07" w:rsidRDefault="00530A07">
      <w:pPr>
        <w:rPr>
          <w:rFonts w:ascii="Calibri" w:hAnsi="Calibri" w:cs="Calibri"/>
          <w:sz w:val="22"/>
          <w:szCs w:val="22"/>
        </w:rPr>
      </w:pPr>
    </w:p>
    <w:p w14:paraId="5634BD60" w14:textId="6D6EAD67" w:rsidR="00F74CBF" w:rsidRDefault="00357E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we learn more, SHM will seek opportunities to share experiences and guidance with and across the SHM membership.</w:t>
      </w:r>
    </w:p>
    <w:p w14:paraId="798431E2" w14:textId="5F7AA6E2" w:rsidR="00D25233" w:rsidRDefault="00D25233">
      <w:pPr>
        <w:rPr>
          <w:rFonts w:ascii="Calibri" w:hAnsi="Calibri" w:cs="Calibri"/>
          <w:sz w:val="22"/>
          <w:szCs w:val="22"/>
        </w:rPr>
      </w:pPr>
    </w:p>
    <w:p w14:paraId="7F6108A2" w14:textId="595C055E" w:rsidR="00D25233" w:rsidRDefault="00D252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More information</w:t>
      </w:r>
      <w:r>
        <w:rPr>
          <w:rFonts w:ascii="Calibri" w:hAnsi="Calibri" w:cs="Calibri"/>
          <w:sz w:val="22"/>
          <w:szCs w:val="22"/>
        </w:rPr>
        <w:t>:</w:t>
      </w:r>
    </w:p>
    <w:p w14:paraId="149D8E57" w14:textId="77777777" w:rsidR="00530A07" w:rsidRDefault="00530A07" w:rsidP="00530A0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Final Rule:</w:t>
      </w:r>
      <w:hyperlink r:id="rId10" w:anchor="h-175" w:history="1">
        <w:r>
          <w:rPr>
            <w:rStyle w:val="Hyperlink"/>
            <w:rFonts w:ascii="Calibri" w:hAnsi="Calibri" w:cs="Calibri"/>
            <w:sz w:val="22"/>
            <w:szCs w:val="22"/>
          </w:rPr>
          <w:t>2023 Physician Fee Schedule: Split (or Shared) Visits (direct link to section of the rule)</w:t>
        </w:r>
      </w:hyperlink>
    </w:p>
    <w:p w14:paraId="3A46CF99" w14:textId="71ECECAB" w:rsidR="00D25233" w:rsidRDefault="00D25233" w:rsidP="00D2523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Final rule: </w:t>
      </w:r>
      <w:hyperlink r:id="rId11" w:anchor="h-119" w:history="1">
        <w:r w:rsidRPr="00D25233">
          <w:rPr>
            <w:rStyle w:val="Hyperlink"/>
            <w:rFonts w:ascii="Calibri" w:hAnsi="Calibri" w:cs="Calibri"/>
            <w:sz w:val="22"/>
            <w:szCs w:val="22"/>
          </w:rPr>
          <w:t>2022 Physician Fee Schedule: Split (or Shared Visits)</w:t>
        </w:r>
      </w:hyperlink>
      <w:r>
        <w:rPr>
          <w:rFonts w:ascii="Calibri" w:hAnsi="Calibri" w:cs="Calibri"/>
          <w:sz w:val="22"/>
          <w:szCs w:val="22"/>
        </w:rPr>
        <w:t xml:space="preserve"> (direct link to section of the rule)</w:t>
      </w:r>
    </w:p>
    <w:p w14:paraId="29404193" w14:textId="7B6A510E" w:rsidR="00934BDD" w:rsidRDefault="00934BDD" w:rsidP="00D25233">
      <w:pPr>
        <w:rPr>
          <w:rStyle w:val="Hyperlink"/>
          <w:rFonts w:ascii="Calibri" w:hAnsi="Calibri" w:cs="Calibri"/>
          <w:sz w:val="22"/>
          <w:szCs w:val="22"/>
        </w:rPr>
      </w:pPr>
    </w:p>
    <w:p w14:paraId="087DD018" w14:textId="5DA4EC14" w:rsidR="00530A07" w:rsidRDefault="00530A07" w:rsidP="00D25233">
      <w:pPr>
        <w:rPr>
          <w:rStyle w:val="Hyperlink"/>
          <w:rFonts w:ascii="Calibri" w:hAnsi="Calibri" w:cs="Calibri"/>
          <w:sz w:val="22"/>
          <w:szCs w:val="22"/>
        </w:rPr>
      </w:pPr>
    </w:p>
    <w:p w14:paraId="715BEF75" w14:textId="77777777" w:rsidR="00530A07" w:rsidRPr="00D25233" w:rsidRDefault="00530A07" w:rsidP="00D25233">
      <w:pPr>
        <w:rPr>
          <w:rFonts w:ascii="Calibri" w:hAnsi="Calibri" w:cs="Calibri"/>
          <w:sz w:val="22"/>
          <w:szCs w:val="22"/>
        </w:rPr>
      </w:pPr>
    </w:p>
    <w:sectPr w:rsidR="00530A07" w:rsidRPr="00D25233" w:rsidSect="00A465AB">
      <w:headerReference w:type="default" r:id="rId12"/>
      <w:headerReference w:type="first" r:id="rId13"/>
      <w:footerReference w:type="first" r:id="rId14"/>
      <w:pgSz w:w="12240" w:h="15840"/>
      <w:pgMar w:top="1872" w:right="864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F801" w14:textId="77777777" w:rsidR="002068F7" w:rsidRDefault="002068F7" w:rsidP="00B5233C">
      <w:r>
        <w:separator/>
      </w:r>
    </w:p>
  </w:endnote>
  <w:endnote w:type="continuationSeparator" w:id="0">
    <w:p w14:paraId="38ED2C37" w14:textId="77777777" w:rsidR="002068F7" w:rsidRDefault="002068F7" w:rsidP="00B5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1A0D" w14:textId="493A7145" w:rsidR="0003179B" w:rsidRPr="00CF72CB" w:rsidRDefault="007A0CA3" w:rsidP="007A0CA3">
    <w:pPr>
      <w:pStyle w:val="p1"/>
      <w:jc w:val="center"/>
      <w:rPr>
        <w:rFonts w:ascii="Arial" w:hAnsi="Arial" w:cs="Arial"/>
        <w:b/>
        <w:color w:val="007CBB"/>
        <w:sz w:val="24"/>
        <w:szCs w:val="24"/>
      </w:rPr>
    </w:pPr>
    <w:r w:rsidRPr="00CF72CB">
      <w:rPr>
        <w:rFonts w:ascii="Arial" w:hAnsi="Arial" w:cs="Arial"/>
        <w:b/>
        <w:color w:val="007CBB"/>
        <w:sz w:val="24"/>
        <w:szCs w:val="24"/>
      </w:rPr>
      <w:t>hospitalmedicine.org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7CE3F" w14:textId="77777777" w:rsidR="002068F7" w:rsidRDefault="002068F7" w:rsidP="00B5233C">
      <w:r>
        <w:separator/>
      </w:r>
    </w:p>
  </w:footnote>
  <w:footnote w:type="continuationSeparator" w:id="0">
    <w:p w14:paraId="293A1D4A" w14:textId="77777777" w:rsidR="002068F7" w:rsidRDefault="002068F7" w:rsidP="00B5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DC43" w14:textId="77777777" w:rsidR="006405DE" w:rsidRPr="006405DE" w:rsidRDefault="006405DE" w:rsidP="006405DE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64384" behindDoc="0" locked="0" layoutInCell="1" allowOverlap="1" wp14:anchorId="61D95841" wp14:editId="0CE615D6">
          <wp:simplePos x="0" y="0"/>
          <wp:positionH relativeFrom="page">
            <wp:posOffset>-63499</wp:posOffset>
          </wp:positionH>
          <wp:positionV relativeFrom="page">
            <wp:posOffset>114300</wp:posOffset>
          </wp:positionV>
          <wp:extent cx="5847808" cy="802640"/>
          <wp:effectExtent l="0" t="0" r="0" b="1016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cintosh HD:Users:bparrera:Desktop:shm-header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58185" cy="804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2C97" w14:textId="0047784D" w:rsidR="006405DE" w:rsidRDefault="0003179B" w:rsidP="0003179B">
    <w:pPr>
      <w:pStyle w:val="Header"/>
      <w:jc w:val="right"/>
    </w:pPr>
    <w:r>
      <w:rPr>
        <w:rFonts w:hint="eastAsia"/>
        <w:noProof/>
      </w:rPr>
      <w:drawing>
        <wp:anchor distT="0" distB="0" distL="114300" distR="114300" simplePos="0" relativeHeight="251665408" behindDoc="0" locked="0" layoutInCell="1" allowOverlap="1" wp14:anchorId="3D471455" wp14:editId="13DA8A2E">
          <wp:simplePos x="0" y="0"/>
          <wp:positionH relativeFrom="column">
            <wp:posOffset>1565201</wp:posOffset>
          </wp:positionH>
          <wp:positionV relativeFrom="paragraph">
            <wp:posOffset>-28135</wp:posOffset>
          </wp:positionV>
          <wp:extent cx="3234690" cy="53911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M Color logo-tagline HORZ.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469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570"/>
    <w:multiLevelType w:val="hybridMultilevel"/>
    <w:tmpl w:val="50E6FBE4"/>
    <w:lvl w:ilvl="0" w:tplc="222EA6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232E6"/>
    <w:multiLevelType w:val="hybridMultilevel"/>
    <w:tmpl w:val="2684EDFA"/>
    <w:lvl w:ilvl="0" w:tplc="22A469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C2E4E"/>
    <w:multiLevelType w:val="hybridMultilevel"/>
    <w:tmpl w:val="241EFC3C"/>
    <w:lvl w:ilvl="0" w:tplc="B6D244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5465A"/>
    <w:multiLevelType w:val="hybridMultilevel"/>
    <w:tmpl w:val="6DD4F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845AF"/>
    <w:multiLevelType w:val="hybridMultilevel"/>
    <w:tmpl w:val="40DED882"/>
    <w:lvl w:ilvl="0" w:tplc="B6D244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764703">
    <w:abstractNumId w:val="1"/>
  </w:num>
  <w:num w:numId="2" w16cid:durableId="2117871937">
    <w:abstractNumId w:val="0"/>
  </w:num>
  <w:num w:numId="3" w16cid:durableId="212471357">
    <w:abstractNumId w:val="2"/>
  </w:num>
  <w:num w:numId="4" w16cid:durableId="594825370">
    <w:abstractNumId w:val="4"/>
  </w:num>
  <w:num w:numId="5" w16cid:durableId="658844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40"/>
    <w:rsid w:val="00010913"/>
    <w:rsid w:val="0003179B"/>
    <w:rsid w:val="000329E5"/>
    <w:rsid w:val="00045585"/>
    <w:rsid w:val="000A5CE0"/>
    <w:rsid w:val="000D61A1"/>
    <w:rsid w:val="00132178"/>
    <w:rsid w:val="00140FDD"/>
    <w:rsid w:val="00147DFA"/>
    <w:rsid w:val="00153AA1"/>
    <w:rsid w:val="001D7F3E"/>
    <w:rsid w:val="00201B0E"/>
    <w:rsid w:val="0020284B"/>
    <w:rsid w:val="002068F7"/>
    <w:rsid w:val="00223ED3"/>
    <w:rsid w:val="00233B7F"/>
    <w:rsid w:val="002429E8"/>
    <w:rsid w:val="002757F0"/>
    <w:rsid w:val="002A3D92"/>
    <w:rsid w:val="002E4245"/>
    <w:rsid w:val="002F23BA"/>
    <w:rsid w:val="00355FBE"/>
    <w:rsid w:val="00357E3B"/>
    <w:rsid w:val="003B5D72"/>
    <w:rsid w:val="003E545C"/>
    <w:rsid w:val="003F3184"/>
    <w:rsid w:val="00435BE3"/>
    <w:rsid w:val="004528C2"/>
    <w:rsid w:val="00456237"/>
    <w:rsid w:val="0048385B"/>
    <w:rsid w:val="004C0C1A"/>
    <w:rsid w:val="00530A07"/>
    <w:rsid w:val="005414C5"/>
    <w:rsid w:val="00546709"/>
    <w:rsid w:val="00547D7C"/>
    <w:rsid w:val="005523A0"/>
    <w:rsid w:val="00555EF7"/>
    <w:rsid w:val="0056517F"/>
    <w:rsid w:val="00590357"/>
    <w:rsid w:val="005941C7"/>
    <w:rsid w:val="005A7414"/>
    <w:rsid w:val="005B31E3"/>
    <w:rsid w:val="005F085D"/>
    <w:rsid w:val="00623827"/>
    <w:rsid w:val="006405DE"/>
    <w:rsid w:val="00657977"/>
    <w:rsid w:val="00674BFC"/>
    <w:rsid w:val="0068625F"/>
    <w:rsid w:val="00691485"/>
    <w:rsid w:val="006B55B9"/>
    <w:rsid w:val="00714180"/>
    <w:rsid w:val="0076251B"/>
    <w:rsid w:val="007A0CA3"/>
    <w:rsid w:val="007A194C"/>
    <w:rsid w:val="0082403F"/>
    <w:rsid w:val="00852866"/>
    <w:rsid w:val="00876FD6"/>
    <w:rsid w:val="00894544"/>
    <w:rsid w:val="008951F1"/>
    <w:rsid w:val="008B41FF"/>
    <w:rsid w:val="008D6257"/>
    <w:rsid w:val="008F3140"/>
    <w:rsid w:val="00934BDD"/>
    <w:rsid w:val="00936D99"/>
    <w:rsid w:val="00947D80"/>
    <w:rsid w:val="00950F5A"/>
    <w:rsid w:val="009A5EC7"/>
    <w:rsid w:val="009A7FA4"/>
    <w:rsid w:val="009B1D80"/>
    <w:rsid w:val="00A0674E"/>
    <w:rsid w:val="00A218DF"/>
    <w:rsid w:val="00A465AB"/>
    <w:rsid w:val="00AD23E4"/>
    <w:rsid w:val="00B220BA"/>
    <w:rsid w:val="00B36893"/>
    <w:rsid w:val="00B5233C"/>
    <w:rsid w:val="00B53CE9"/>
    <w:rsid w:val="00B55099"/>
    <w:rsid w:val="00B77A30"/>
    <w:rsid w:val="00BA72DE"/>
    <w:rsid w:val="00BF05AA"/>
    <w:rsid w:val="00C011A9"/>
    <w:rsid w:val="00C258A1"/>
    <w:rsid w:val="00C61BA3"/>
    <w:rsid w:val="00C71B59"/>
    <w:rsid w:val="00C958B8"/>
    <w:rsid w:val="00C965A1"/>
    <w:rsid w:val="00CF72CB"/>
    <w:rsid w:val="00D11515"/>
    <w:rsid w:val="00D25233"/>
    <w:rsid w:val="00DC0EC1"/>
    <w:rsid w:val="00DC38B0"/>
    <w:rsid w:val="00E01199"/>
    <w:rsid w:val="00E05F4B"/>
    <w:rsid w:val="00E1121C"/>
    <w:rsid w:val="00E34647"/>
    <w:rsid w:val="00E515BE"/>
    <w:rsid w:val="00E55F3C"/>
    <w:rsid w:val="00E65828"/>
    <w:rsid w:val="00E7799E"/>
    <w:rsid w:val="00EB4E84"/>
    <w:rsid w:val="00EB6670"/>
    <w:rsid w:val="00EB7FDD"/>
    <w:rsid w:val="00EC5841"/>
    <w:rsid w:val="00F30AE5"/>
    <w:rsid w:val="00F3101E"/>
    <w:rsid w:val="00F41755"/>
    <w:rsid w:val="00F550F1"/>
    <w:rsid w:val="00F576B4"/>
    <w:rsid w:val="00F74CBF"/>
    <w:rsid w:val="00F91BB8"/>
    <w:rsid w:val="00FA2C57"/>
    <w:rsid w:val="00F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893455"/>
  <w14:defaultImageDpi w14:val="300"/>
  <w15:docId w15:val="{0A61663E-9109-404F-8F8B-C4D72776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3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33C"/>
  </w:style>
  <w:style w:type="paragraph" w:styleId="Footer">
    <w:name w:val="footer"/>
    <w:basedOn w:val="Normal"/>
    <w:link w:val="FooterChar"/>
    <w:uiPriority w:val="99"/>
    <w:unhideWhenUsed/>
    <w:rsid w:val="00B523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33C"/>
  </w:style>
  <w:style w:type="paragraph" w:styleId="BalloonText">
    <w:name w:val="Balloon Text"/>
    <w:basedOn w:val="Normal"/>
    <w:link w:val="BalloonTextChar"/>
    <w:uiPriority w:val="99"/>
    <w:semiHidden/>
    <w:unhideWhenUsed/>
    <w:rsid w:val="00B523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3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405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p1">
    <w:name w:val="p1"/>
    <w:basedOn w:val="Normal"/>
    <w:rsid w:val="007A0CA3"/>
    <w:rPr>
      <w:rFonts w:ascii="Helvetica" w:hAnsi="Helvetica" w:cs="Times New Roman"/>
      <w:sz w:val="12"/>
      <w:szCs w:val="12"/>
    </w:rPr>
  </w:style>
  <w:style w:type="paragraph" w:styleId="ListParagraph">
    <w:name w:val="List Paragraph"/>
    <w:basedOn w:val="Normal"/>
    <w:uiPriority w:val="34"/>
    <w:qFormat/>
    <w:rsid w:val="00C95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233"/>
    <w:rPr>
      <w:color w:val="1C243D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252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1485"/>
  </w:style>
  <w:style w:type="character" w:styleId="CommentReference">
    <w:name w:val="annotation reference"/>
    <w:basedOn w:val="DefaultParagraphFont"/>
    <w:uiPriority w:val="99"/>
    <w:semiHidden/>
    <w:unhideWhenUsed/>
    <w:rsid w:val="00E51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5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5B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0A07"/>
    <w:rPr>
      <w:color w:val="1C243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mlearningportal.org/content/split-and-shared-billing-changes-team-based-care-and-how-groups-are-adapti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eralregister.gov/documents/2021/11/19/2021-23972/medicare-program-cy-2022-payment-policies-under-the-physician-fee-schedule-and-other-changes-to-pa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ederalregister.gov/documents/2022/11/18/2022-23873/medicare-and-medicaid-programs-cy-2023-payment-policies-under-the-physician-fee-schedule-and-ot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nect.hospitalmedicine.org/files/601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zoks\AppData\Local\Microsoft\Windows\Temporary%20Internet%20Files\Content.Outlook\2M2E8M32\SHM_1102%20Letterhead_BoardNamesTMG-template%20(005).dotx" TargetMode="External"/></Relationships>
</file>

<file path=word/theme/theme1.xml><?xml version="1.0" encoding="utf-8"?>
<a:theme xmlns:a="http://schemas.openxmlformats.org/drawingml/2006/main" name="Office Theme">
  <a:themeElements>
    <a:clrScheme name="SHM">
      <a:dk1>
        <a:srgbClr val="000000"/>
      </a:dk1>
      <a:lt1>
        <a:srgbClr val="FFFFFF"/>
      </a:lt1>
      <a:dk2>
        <a:srgbClr val="1C243D"/>
      </a:dk2>
      <a:lt2>
        <a:srgbClr val="FEFFFE"/>
      </a:lt2>
      <a:accent1>
        <a:srgbClr val="006FB4"/>
      </a:accent1>
      <a:accent2>
        <a:srgbClr val="009BAE"/>
      </a:accent2>
      <a:accent3>
        <a:srgbClr val="5CC6A9"/>
      </a:accent3>
      <a:accent4>
        <a:srgbClr val="CCA600"/>
      </a:accent4>
      <a:accent5>
        <a:srgbClr val="006FB4"/>
      </a:accent5>
      <a:accent6>
        <a:srgbClr val="006FB4"/>
      </a:accent6>
      <a:hlink>
        <a:srgbClr val="1C243D"/>
      </a:hlink>
      <a:folHlink>
        <a:srgbClr val="1C243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898CA2-0050-3B4D-A05A-6D3D7FEF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SHM_1102 Letterhead_BoardNamesTMG-template (005)</Template>
  <TotalTime>3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Zoks</dc:creator>
  <cp:keywords/>
  <dc:description/>
  <cp:lastModifiedBy>Teresa Caponiti</cp:lastModifiedBy>
  <cp:revision>2</cp:revision>
  <cp:lastPrinted>2022-07-19T19:49:00Z</cp:lastPrinted>
  <dcterms:created xsi:type="dcterms:W3CDTF">2023-07-27T14:24:00Z</dcterms:created>
  <dcterms:modified xsi:type="dcterms:W3CDTF">2023-07-27T14:24:00Z</dcterms:modified>
</cp:coreProperties>
</file>